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A286B" w14:textId="28797E3E" w:rsidR="00237F0A" w:rsidRDefault="00237F0A" w:rsidP="00237F0A">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t>R1-16628</w:t>
      </w:r>
      <w:r>
        <w:rPr>
          <w:rFonts w:ascii="Arial" w:hAnsi="Arial" w:cs="Arial"/>
          <w:b/>
          <w:bCs/>
          <w:sz w:val="28"/>
        </w:rPr>
        <w:t>5</w:t>
      </w:r>
    </w:p>
    <w:p w14:paraId="5F3D6BC2" w14:textId="77777777" w:rsidR="00237F0A" w:rsidRDefault="00237F0A" w:rsidP="00237F0A">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1336D62F"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237F0A">
        <w:rPr>
          <w:rFonts w:ascii="Arial" w:hAnsi="Arial" w:cs="Arial"/>
          <w:snapToGrid w:val="0"/>
          <w:sz w:val="24"/>
        </w:rPr>
        <w:t>7</w:t>
      </w:r>
      <w:r w:rsidR="00D4389F">
        <w:rPr>
          <w:rFonts w:ascii="Arial" w:hAnsi="Arial" w:cs="Arial"/>
          <w:snapToGrid w:val="0"/>
          <w:sz w:val="24"/>
        </w:rPr>
        <w:t>.2.</w:t>
      </w:r>
      <w:r w:rsidR="00237F0A">
        <w:rPr>
          <w:rFonts w:ascii="Arial" w:hAnsi="Arial" w:cs="Arial"/>
          <w:snapToGrid w:val="0"/>
          <w:sz w:val="24"/>
        </w:rPr>
        <w:t>6</w:t>
      </w:r>
      <w:r w:rsidR="00D4389F">
        <w:rPr>
          <w:rFonts w:ascii="Arial" w:hAnsi="Arial" w:cs="Arial"/>
          <w:snapToGrid w:val="0"/>
          <w:sz w:val="24"/>
        </w:rPr>
        <w:t>.4</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0DA3D8EB"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B21180" w:rsidRPr="00B21180">
        <w:rPr>
          <w:rFonts w:ascii="Arial" w:hAnsi="Arial" w:cs="Arial"/>
          <w:snapToGrid w:val="0"/>
          <w:sz w:val="24"/>
        </w:rPr>
        <w:t>Simultaneous reception of broadcast and unicast</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63A1FCC4"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Pr>
          <w:rFonts w:ascii="Times New Roman"/>
          <w:i/>
          <w:snapToGrid w:val="0"/>
          <w:kern w:val="0"/>
          <w:sz w:val="22"/>
          <w:szCs w:val="22"/>
          <w:lang w:val="en-GB"/>
        </w:rPr>
        <w:t>eMBMS</w:t>
      </w:r>
      <w:proofErr w:type="spellEnd"/>
      <w:r>
        <w:rPr>
          <w:rFonts w:ascii="Times New Roman"/>
          <w:i/>
          <w:snapToGrid w:val="0"/>
          <w:kern w:val="0"/>
          <w:sz w:val="22"/>
          <w:szCs w:val="22"/>
          <w:lang w:val="en-GB"/>
        </w:rPr>
        <w:t xml:space="preserve"> enhancement for LTE</w:t>
      </w:r>
      <w:r>
        <w:rPr>
          <w:rFonts w:ascii="Times New Roman"/>
          <w:snapToGrid w:val="0"/>
          <w:kern w:val="0"/>
          <w:sz w:val="22"/>
          <w:szCs w:val="22"/>
          <w:lang w:val="en-GB"/>
        </w:rPr>
        <w:t xml:space="preserve"> [1] was introduced. The 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and study standalone carrier. In this document we provide our views on </w:t>
      </w:r>
      <w:r w:rsidR="00B21180">
        <w:rPr>
          <w:rFonts w:ascii="Times New Roman"/>
          <w:snapToGrid w:val="0"/>
          <w:kern w:val="0"/>
          <w:sz w:val="22"/>
          <w:szCs w:val="22"/>
          <w:lang w:val="en-GB"/>
        </w:rPr>
        <w:t>simultaneous reception of broadcast and unicast for standalone mode</w:t>
      </w:r>
      <w:r>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0DD87E91" w14:textId="66F5E873" w:rsidR="00547160" w:rsidRDefault="00B21180"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General operation</w:t>
      </w:r>
    </w:p>
    <w:p w14:paraId="5916CBFE" w14:textId="508E18F4" w:rsidR="007572F8" w:rsidRDefault="007572F8" w:rsidP="007572F8">
      <w:pPr>
        <w:pStyle w:val="LGTdoc1"/>
        <w:spacing w:beforeLines="0" w:before="120" w:after="220" w:afterAutospacing="0"/>
        <w:rPr>
          <w:b w:val="0"/>
          <w:sz w:val="22"/>
          <w:szCs w:val="22"/>
        </w:rPr>
      </w:pPr>
      <w:r>
        <w:rPr>
          <w:b w:val="0"/>
          <w:sz w:val="22"/>
          <w:szCs w:val="22"/>
        </w:rPr>
        <w:t xml:space="preserve">A UE may be interested in accessing a content broadcast over a standalone MBSFN carrier while at the same time keeping an unicast connection </w:t>
      </w:r>
      <w:r w:rsidR="00DE0A1F">
        <w:rPr>
          <w:b w:val="0"/>
          <w:sz w:val="22"/>
          <w:szCs w:val="22"/>
        </w:rPr>
        <w:t>active</w:t>
      </w:r>
      <w:r>
        <w:rPr>
          <w:b w:val="0"/>
          <w:sz w:val="22"/>
          <w:szCs w:val="22"/>
        </w:rPr>
        <w:t xml:space="preserve"> (e.g. a smartphone user). In this case, </w:t>
      </w:r>
      <w:r w:rsidR="00DE0A1F">
        <w:rPr>
          <w:b w:val="0"/>
          <w:sz w:val="22"/>
          <w:szCs w:val="22"/>
        </w:rPr>
        <w:t>if a UE is not able to receive both carriers simultaneously (e.g.</w:t>
      </w:r>
      <w:r>
        <w:rPr>
          <w:b w:val="0"/>
          <w:sz w:val="22"/>
          <w:szCs w:val="22"/>
        </w:rPr>
        <w:t xml:space="preserve"> single radio UEs</w:t>
      </w:r>
      <w:r w:rsidR="00DE0A1F">
        <w:rPr>
          <w:b w:val="0"/>
          <w:sz w:val="22"/>
          <w:szCs w:val="22"/>
        </w:rPr>
        <w:t>)</w:t>
      </w:r>
      <w:r>
        <w:rPr>
          <w:b w:val="0"/>
          <w:sz w:val="22"/>
          <w:szCs w:val="22"/>
        </w:rPr>
        <w:t>, there has to be some mechanism to enable this operation without disrupting the unicast and broadcast reception.</w:t>
      </w:r>
    </w:p>
    <w:p w14:paraId="319947EF" w14:textId="72F3013C" w:rsidR="007572F8" w:rsidRDefault="007572F8" w:rsidP="007572F8">
      <w:pPr>
        <w:pStyle w:val="LGTdoc1"/>
        <w:spacing w:beforeLines="0" w:before="120" w:after="220" w:afterAutospacing="0"/>
        <w:rPr>
          <w:b w:val="0"/>
          <w:sz w:val="22"/>
          <w:szCs w:val="22"/>
        </w:rPr>
      </w:pPr>
      <w:r>
        <w:rPr>
          <w:b w:val="0"/>
          <w:sz w:val="22"/>
          <w:szCs w:val="22"/>
        </w:rPr>
        <w:t xml:space="preserve">Additionally, a UE may be interested in accessing a particular content that is carried over a standalone broadcast cell, but the UE may be out of coverage in a particular moment. In that case, the UE can request that content via unicast over a non-MBMS cell. Once that connection is established, it is still beneficial for the network to allow the UE to find the broadcast cell if it moves inside its coverage. To enable this, the UE may have to interrupt reception over the unicast channels to </w:t>
      </w:r>
      <w:r w:rsidR="00DE0A1F">
        <w:rPr>
          <w:b w:val="0"/>
          <w:sz w:val="22"/>
          <w:szCs w:val="22"/>
        </w:rPr>
        <w:t xml:space="preserve">perform </w:t>
      </w:r>
      <w:r>
        <w:rPr>
          <w:b w:val="0"/>
          <w:sz w:val="22"/>
          <w:szCs w:val="22"/>
        </w:rPr>
        <w:t>a</w:t>
      </w:r>
      <w:r w:rsidR="00DE0A1F">
        <w:rPr>
          <w:b w:val="0"/>
          <w:sz w:val="22"/>
          <w:szCs w:val="22"/>
        </w:rPr>
        <w:t xml:space="preserve"> cell</w:t>
      </w:r>
      <w:r>
        <w:rPr>
          <w:b w:val="0"/>
          <w:sz w:val="22"/>
          <w:szCs w:val="22"/>
        </w:rPr>
        <w:t xml:space="preserve"> search over the </w:t>
      </w:r>
      <w:r w:rsidR="00DE0A1F">
        <w:rPr>
          <w:b w:val="0"/>
          <w:sz w:val="22"/>
          <w:szCs w:val="22"/>
        </w:rPr>
        <w:t>intended</w:t>
      </w:r>
      <w:r>
        <w:rPr>
          <w:b w:val="0"/>
          <w:sz w:val="22"/>
          <w:szCs w:val="22"/>
        </w:rPr>
        <w:t xml:space="preserve"> frequency.</w:t>
      </w:r>
    </w:p>
    <w:p w14:paraId="74B9BCD2" w14:textId="27135835" w:rsidR="007572F8" w:rsidRPr="007572F8" w:rsidRDefault="007572F8" w:rsidP="007572F8">
      <w:pPr>
        <w:pStyle w:val="LGTdoc1"/>
        <w:spacing w:beforeLines="0" w:before="120" w:after="220" w:afterAutospacing="0"/>
        <w:rPr>
          <w:b w:val="0"/>
          <w:sz w:val="22"/>
          <w:szCs w:val="22"/>
        </w:rPr>
      </w:pPr>
      <w:r>
        <w:rPr>
          <w:b w:val="0"/>
          <w:sz w:val="22"/>
          <w:szCs w:val="22"/>
        </w:rPr>
        <w:t>In these cases, there has to be some mechanism to enable TDM between unicast and broadcast reception. In this contribution, we present our views on the necessary techniques to enable this operation.</w:t>
      </w:r>
    </w:p>
    <w:p w14:paraId="790ADB38" w14:textId="5A60F59C" w:rsidR="00B21180" w:rsidRPr="00B21180" w:rsidRDefault="00B21180" w:rsidP="00B21180">
      <w:pPr>
        <w:pStyle w:val="LGTdoc1"/>
        <w:spacing w:beforeLines="0" w:before="120" w:after="220" w:afterAutospacing="0"/>
        <w:rPr>
          <w:sz w:val="22"/>
          <w:szCs w:val="22"/>
        </w:rPr>
      </w:pPr>
      <w:r w:rsidRPr="00B21180">
        <w:rPr>
          <w:sz w:val="22"/>
          <w:szCs w:val="22"/>
          <w:u w:val="single"/>
        </w:rPr>
        <w:t>Observation 1</w:t>
      </w:r>
      <w:r>
        <w:rPr>
          <w:sz w:val="22"/>
          <w:szCs w:val="22"/>
          <w:u w:val="single"/>
        </w:rPr>
        <w:t>:</w:t>
      </w:r>
      <w:r w:rsidRPr="004150A1">
        <w:rPr>
          <w:b w:val="0"/>
          <w:sz w:val="22"/>
          <w:szCs w:val="22"/>
        </w:rPr>
        <w:t xml:space="preserve"> </w:t>
      </w:r>
      <w:r>
        <w:rPr>
          <w:sz w:val="22"/>
          <w:szCs w:val="22"/>
        </w:rPr>
        <w:t>Single radio UEs interested in both broadcast and unicast need to TDM between both services.</w:t>
      </w:r>
    </w:p>
    <w:p w14:paraId="68B8B72B" w14:textId="77777777" w:rsidR="00B21180" w:rsidRDefault="00B21180" w:rsidP="00B21180">
      <w:pPr>
        <w:pStyle w:val="LGTdoc1"/>
        <w:spacing w:beforeLines="0" w:before="120" w:after="220" w:afterAutospacing="0"/>
        <w:rPr>
          <w:b w:val="0"/>
          <w:sz w:val="22"/>
          <w:szCs w:val="22"/>
        </w:rPr>
      </w:pPr>
    </w:p>
    <w:p w14:paraId="3A80A849" w14:textId="5A63AD79" w:rsidR="00B21180" w:rsidRDefault="00B21180" w:rsidP="00B2118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Behavior in connected mode</w:t>
      </w:r>
    </w:p>
    <w:p w14:paraId="27AEFA9E" w14:textId="6F8359F3" w:rsidR="00B21180" w:rsidRDefault="007572F8" w:rsidP="007572F8">
      <w:pPr>
        <w:pStyle w:val="LGTdoc1"/>
        <w:spacing w:beforeLines="0" w:before="120" w:after="220" w:afterAutospacing="0"/>
        <w:rPr>
          <w:b w:val="0"/>
          <w:sz w:val="22"/>
          <w:szCs w:val="22"/>
        </w:rPr>
      </w:pPr>
      <w:r>
        <w:rPr>
          <w:b w:val="0"/>
          <w:sz w:val="22"/>
          <w:szCs w:val="22"/>
        </w:rPr>
        <w:t xml:space="preserve">When a UE is in connected mode with the unicast cell, it may need to interrupt reception in order to receive the broadcast over a different frequency (if the broadcast cell is detected) or to run a cell search over the desired frequency (if the broadcast cell is not detected yet). </w:t>
      </w:r>
      <w:r w:rsidR="004150A1">
        <w:rPr>
          <w:b w:val="0"/>
          <w:sz w:val="22"/>
          <w:szCs w:val="22"/>
        </w:rPr>
        <w:t xml:space="preserve">In order to do this, there needs to be some understanding between the UE and </w:t>
      </w:r>
      <w:proofErr w:type="spellStart"/>
      <w:r w:rsidR="004150A1">
        <w:rPr>
          <w:b w:val="0"/>
          <w:sz w:val="22"/>
          <w:szCs w:val="22"/>
        </w:rPr>
        <w:t>eNB</w:t>
      </w:r>
      <w:proofErr w:type="spellEnd"/>
      <w:r w:rsidR="004150A1">
        <w:rPr>
          <w:b w:val="0"/>
          <w:sz w:val="22"/>
          <w:szCs w:val="22"/>
        </w:rPr>
        <w:t xml:space="preserve"> about the </w:t>
      </w:r>
      <w:proofErr w:type="spellStart"/>
      <w:r w:rsidR="004150A1">
        <w:rPr>
          <w:b w:val="0"/>
          <w:sz w:val="22"/>
          <w:szCs w:val="22"/>
        </w:rPr>
        <w:t>subframes</w:t>
      </w:r>
      <w:proofErr w:type="spellEnd"/>
      <w:r w:rsidR="004150A1">
        <w:rPr>
          <w:b w:val="0"/>
          <w:sz w:val="22"/>
          <w:szCs w:val="22"/>
        </w:rPr>
        <w:t xml:space="preserve"> the UE is going to skip to perform broadcast reception</w:t>
      </w:r>
      <w:r w:rsidR="00DE0A1F">
        <w:rPr>
          <w:b w:val="0"/>
          <w:sz w:val="22"/>
          <w:szCs w:val="22"/>
        </w:rPr>
        <w:t>/search</w:t>
      </w:r>
      <w:r w:rsidR="004150A1">
        <w:rPr>
          <w:b w:val="0"/>
          <w:sz w:val="22"/>
          <w:szCs w:val="22"/>
        </w:rPr>
        <w:t xml:space="preserve">. Note that the unicast </w:t>
      </w:r>
      <w:proofErr w:type="spellStart"/>
      <w:r w:rsidR="004150A1">
        <w:rPr>
          <w:b w:val="0"/>
          <w:sz w:val="22"/>
          <w:szCs w:val="22"/>
        </w:rPr>
        <w:t>eNB</w:t>
      </w:r>
      <w:proofErr w:type="spellEnd"/>
      <w:r w:rsidR="004150A1">
        <w:rPr>
          <w:b w:val="0"/>
          <w:sz w:val="22"/>
          <w:szCs w:val="22"/>
        </w:rPr>
        <w:t xml:space="preserve"> and broadcast </w:t>
      </w:r>
      <w:proofErr w:type="spellStart"/>
      <w:r w:rsidR="004150A1">
        <w:rPr>
          <w:b w:val="0"/>
          <w:sz w:val="22"/>
          <w:szCs w:val="22"/>
        </w:rPr>
        <w:t>eNB</w:t>
      </w:r>
      <w:proofErr w:type="spellEnd"/>
      <w:r w:rsidR="004150A1">
        <w:rPr>
          <w:b w:val="0"/>
          <w:sz w:val="22"/>
          <w:szCs w:val="22"/>
        </w:rPr>
        <w:t xml:space="preserve"> may not be synchronized.</w:t>
      </w:r>
    </w:p>
    <w:p w14:paraId="5FC50C91" w14:textId="1E0F020F" w:rsidR="004150A1" w:rsidRDefault="004150A1" w:rsidP="007572F8">
      <w:pPr>
        <w:pStyle w:val="LGTdoc1"/>
        <w:spacing w:beforeLines="0" w:before="120" w:after="220" w:afterAutospacing="0"/>
        <w:rPr>
          <w:b w:val="0"/>
          <w:sz w:val="22"/>
          <w:szCs w:val="22"/>
        </w:rPr>
      </w:pPr>
      <w:r>
        <w:rPr>
          <w:b w:val="0"/>
          <w:sz w:val="22"/>
          <w:szCs w:val="22"/>
        </w:rPr>
        <w:t xml:space="preserve">To achieve this, in-device coexistence (IDC) or a similar mechanism can be enable for MBMS reception. With this, </w:t>
      </w:r>
      <w:proofErr w:type="spellStart"/>
      <w:r>
        <w:rPr>
          <w:b w:val="0"/>
          <w:sz w:val="22"/>
          <w:szCs w:val="22"/>
        </w:rPr>
        <w:t>eNB</w:t>
      </w:r>
      <w:proofErr w:type="spellEnd"/>
      <w:r>
        <w:rPr>
          <w:b w:val="0"/>
          <w:sz w:val="22"/>
          <w:szCs w:val="22"/>
        </w:rPr>
        <w:t xml:space="preserve"> and UE can </w:t>
      </w:r>
      <w:r w:rsidR="00974F91">
        <w:rPr>
          <w:b w:val="0"/>
          <w:sz w:val="22"/>
          <w:szCs w:val="22"/>
        </w:rPr>
        <w:t>negotiate and agree on</w:t>
      </w:r>
      <w:r>
        <w:rPr>
          <w:b w:val="0"/>
          <w:sz w:val="22"/>
          <w:szCs w:val="22"/>
        </w:rPr>
        <w:t xml:space="preserve"> the </w:t>
      </w:r>
      <w:proofErr w:type="spellStart"/>
      <w:r>
        <w:rPr>
          <w:b w:val="0"/>
          <w:sz w:val="22"/>
          <w:szCs w:val="22"/>
        </w:rPr>
        <w:t>subframes</w:t>
      </w:r>
      <w:proofErr w:type="spellEnd"/>
      <w:r>
        <w:rPr>
          <w:b w:val="0"/>
          <w:sz w:val="22"/>
          <w:szCs w:val="22"/>
        </w:rPr>
        <w:t xml:space="preserve"> to be skipped in the unicast cell and receive MBMS.</w:t>
      </w:r>
      <w:r w:rsidR="00237F0A">
        <w:rPr>
          <w:b w:val="0"/>
          <w:sz w:val="22"/>
          <w:szCs w:val="22"/>
        </w:rPr>
        <w:t xml:space="preserve"> Due to asynchronous deployment (i.e., MBMS reception can be over a cell that is not synchronized with the unicast cell) there has to be some mechanism to update these skipped </w:t>
      </w:r>
      <w:proofErr w:type="spellStart"/>
      <w:r w:rsidR="00237F0A">
        <w:rPr>
          <w:b w:val="0"/>
          <w:sz w:val="22"/>
          <w:szCs w:val="22"/>
        </w:rPr>
        <w:t>subframes</w:t>
      </w:r>
      <w:proofErr w:type="spellEnd"/>
      <w:r w:rsidR="00237F0A">
        <w:rPr>
          <w:b w:val="0"/>
          <w:sz w:val="22"/>
          <w:szCs w:val="22"/>
        </w:rPr>
        <w:t xml:space="preserve"> due to time drift.</w:t>
      </w:r>
    </w:p>
    <w:p w14:paraId="3A8933F0" w14:textId="6012FA3B" w:rsidR="00B21180" w:rsidRPr="00B21180" w:rsidRDefault="00B21180" w:rsidP="00B21180">
      <w:pPr>
        <w:pStyle w:val="LGTdoc1"/>
        <w:spacing w:beforeLines="0" w:before="120" w:after="220" w:afterAutospacing="0"/>
        <w:rPr>
          <w:sz w:val="22"/>
          <w:szCs w:val="22"/>
        </w:rPr>
      </w:pPr>
      <w:r w:rsidRPr="00B21180">
        <w:rPr>
          <w:sz w:val="22"/>
          <w:szCs w:val="22"/>
          <w:u w:val="single"/>
        </w:rPr>
        <w:t xml:space="preserve">Observation </w:t>
      </w:r>
      <w:r w:rsidR="004150A1">
        <w:rPr>
          <w:sz w:val="22"/>
          <w:szCs w:val="22"/>
          <w:u w:val="single"/>
        </w:rPr>
        <w:t>2</w:t>
      </w:r>
      <w:r>
        <w:rPr>
          <w:sz w:val="22"/>
          <w:szCs w:val="22"/>
          <w:u w:val="single"/>
        </w:rPr>
        <w:t>:</w:t>
      </w:r>
      <w:r w:rsidR="004150A1" w:rsidRPr="004150A1">
        <w:rPr>
          <w:b w:val="0"/>
          <w:sz w:val="22"/>
          <w:szCs w:val="22"/>
        </w:rPr>
        <w:t xml:space="preserve"> </w:t>
      </w:r>
      <w:r w:rsidRPr="00B21180">
        <w:rPr>
          <w:sz w:val="22"/>
          <w:szCs w:val="22"/>
        </w:rPr>
        <w:t xml:space="preserve">IDC </w:t>
      </w:r>
      <w:r w:rsidR="004150A1">
        <w:rPr>
          <w:sz w:val="22"/>
          <w:szCs w:val="22"/>
        </w:rPr>
        <w:t xml:space="preserve">(or a similar mechanism) </w:t>
      </w:r>
      <w:r w:rsidRPr="00B21180">
        <w:rPr>
          <w:sz w:val="22"/>
          <w:szCs w:val="22"/>
        </w:rPr>
        <w:t>can be</w:t>
      </w:r>
      <w:r>
        <w:rPr>
          <w:sz w:val="22"/>
          <w:szCs w:val="22"/>
        </w:rPr>
        <w:t xml:space="preserve"> used to TDM bet</w:t>
      </w:r>
      <w:r w:rsidR="00642484">
        <w:rPr>
          <w:sz w:val="22"/>
          <w:szCs w:val="22"/>
        </w:rPr>
        <w:t xml:space="preserve">ween unicast and broadcast for </w:t>
      </w:r>
      <w:r>
        <w:rPr>
          <w:sz w:val="22"/>
          <w:szCs w:val="22"/>
        </w:rPr>
        <w:t>connected mode UEs.</w:t>
      </w:r>
    </w:p>
    <w:p w14:paraId="531692DB" w14:textId="77777777" w:rsidR="004150A1" w:rsidRDefault="004150A1" w:rsidP="00B21180">
      <w:pPr>
        <w:pStyle w:val="LGTdoc1"/>
        <w:spacing w:beforeLines="0" w:before="120" w:after="220" w:afterAutospacing="0"/>
        <w:ind w:left="360"/>
        <w:rPr>
          <w:b w:val="0"/>
          <w:sz w:val="22"/>
          <w:szCs w:val="22"/>
        </w:rPr>
      </w:pPr>
      <w:bookmarkStart w:id="2" w:name="_GoBack"/>
      <w:bookmarkEnd w:id="2"/>
    </w:p>
    <w:p w14:paraId="396BD836" w14:textId="4D724677" w:rsidR="00B21180" w:rsidRDefault="00B21180" w:rsidP="00B2118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Behavior in idle mode</w:t>
      </w:r>
    </w:p>
    <w:p w14:paraId="34DFA625" w14:textId="281F0C6F" w:rsidR="004150A1" w:rsidRDefault="004150A1" w:rsidP="004150A1">
      <w:pPr>
        <w:pStyle w:val="LGTdoc1"/>
        <w:spacing w:beforeLines="0" w:before="120" w:after="220" w:afterAutospacing="0"/>
        <w:rPr>
          <w:b w:val="0"/>
          <w:sz w:val="22"/>
          <w:szCs w:val="22"/>
        </w:rPr>
      </w:pPr>
      <w:r>
        <w:rPr>
          <w:b w:val="0"/>
          <w:sz w:val="22"/>
          <w:szCs w:val="22"/>
        </w:rPr>
        <w:t xml:space="preserve">When a UE is in idle mode but receiving broadcast from a different cell, it stills </w:t>
      </w:r>
      <w:r w:rsidR="00DE0A1F">
        <w:rPr>
          <w:b w:val="0"/>
          <w:sz w:val="22"/>
          <w:szCs w:val="22"/>
        </w:rPr>
        <w:t>needs to monitor paging in the unicast cell, and perform cell reselection if needed. In order to do this, the UE needs to tune away from the broadcast cell and decode PDCCH and/or perform measurements over the unicast cell.</w:t>
      </w:r>
    </w:p>
    <w:p w14:paraId="61076160" w14:textId="6E3C2E9F" w:rsidR="00B21180" w:rsidRDefault="00DE0A1F" w:rsidP="00DE0A1F">
      <w:pPr>
        <w:pStyle w:val="LGTdoc1"/>
        <w:spacing w:beforeLines="0" w:before="120" w:after="220" w:afterAutospacing="0"/>
        <w:rPr>
          <w:b w:val="0"/>
          <w:sz w:val="22"/>
          <w:szCs w:val="22"/>
        </w:rPr>
      </w:pPr>
      <w:r>
        <w:rPr>
          <w:b w:val="0"/>
          <w:sz w:val="22"/>
          <w:szCs w:val="22"/>
        </w:rPr>
        <w:t>In case the broadcast and unicast cells belong to the same PLMN, the network may be also be able to page the UE over the broadcast cell. This approach, however, requires some additional signalling (i.e., capability of the UE to support broadcast cells at the MME) and would also imply that the UE would receive a page over a first cell and perform random access over a second cell.</w:t>
      </w:r>
      <w:r w:rsidR="00974F91">
        <w:rPr>
          <w:b w:val="0"/>
          <w:sz w:val="22"/>
          <w:szCs w:val="22"/>
        </w:rPr>
        <w:t xml:space="preserve"> Thus, the unicast cell solution is preferred for simplicity and less specification impact.</w:t>
      </w:r>
    </w:p>
    <w:p w14:paraId="7172ECDD" w14:textId="3384D606" w:rsidR="00DE0A1F" w:rsidRDefault="00DE0A1F" w:rsidP="00DE0A1F">
      <w:pPr>
        <w:pStyle w:val="LGTdoc1"/>
        <w:spacing w:beforeLines="0" w:before="120" w:after="220" w:afterAutospacing="0"/>
        <w:rPr>
          <w:b w:val="0"/>
          <w:sz w:val="22"/>
          <w:szCs w:val="22"/>
        </w:rPr>
      </w:pPr>
      <w:r>
        <w:rPr>
          <w:b w:val="0"/>
          <w:sz w:val="22"/>
          <w:szCs w:val="22"/>
        </w:rPr>
        <w:t xml:space="preserve">Tuning away to the unicast cell to monitor paging may only disrupt reception of a small </w:t>
      </w:r>
      <w:r w:rsidR="00F44541">
        <w:rPr>
          <w:b w:val="0"/>
          <w:sz w:val="22"/>
          <w:szCs w:val="22"/>
        </w:rPr>
        <w:t>fraction</w:t>
      </w:r>
      <w:r>
        <w:rPr>
          <w:b w:val="0"/>
          <w:sz w:val="22"/>
          <w:szCs w:val="22"/>
        </w:rPr>
        <w:t xml:space="preserve"> of broadcast </w:t>
      </w:r>
      <w:proofErr w:type="spellStart"/>
      <w:r>
        <w:rPr>
          <w:b w:val="0"/>
          <w:sz w:val="22"/>
          <w:szCs w:val="22"/>
        </w:rPr>
        <w:t>subframes</w:t>
      </w:r>
      <w:proofErr w:type="spellEnd"/>
      <w:r>
        <w:rPr>
          <w:b w:val="0"/>
          <w:sz w:val="22"/>
          <w:szCs w:val="22"/>
        </w:rPr>
        <w:t>, so its effect may be mitigated by higher layer coding.</w:t>
      </w:r>
    </w:p>
    <w:bookmarkEnd w:id="0"/>
    <w:bookmarkEnd w:id="1"/>
    <w:p w14:paraId="014EB55A" w14:textId="61386096" w:rsidR="00F00B29" w:rsidRDefault="00F00B29" w:rsidP="00B21180">
      <w:pPr>
        <w:pStyle w:val="LGTdoc1"/>
        <w:spacing w:beforeLines="0" w:before="120" w:after="220" w:afterAutospacing="0"/>
        <w:rPr>
          <w:sz w:val="22"/>
          <w:szCs w:val="22"/>
        </w:rPr>
      </w:pPr>
    </w:p>
    <w:p w14:paraId="6BF6B390" w14:textId="578DAB24" w:rsidR="00B21180" w:rsidRPr="00B21180" w:rsidRDefault="00B21180" w:rsidP="00B21180">
      <w:pPr>
        <w:pStyle w:val="LGTdoc1"/>
        <w:spacing w:beforeLines="0" w:before="120" w:after="220" w:afterAutospacing="0"/>
        <w:rPr>
          <w:sz w:val="22"/>
          <w:szCs w:val="22"/>
        </w:rPr>
      </w:pPr>
      <w:r w:rsidRPr="00B21180">
        <w:rPr>
          <w:sz w:val="22"/>
          <w:szCs w:val="22"/>
          <w:u w:val="single"/>
        </w:rPr>
        <w:t xml:space="preserve">Observation </w:t>
      </w:r>
      <w:r w:rsidR="00DE0A1F">
        <w:rPr>
          <w:sz w:val="22"/>
          <w:szCs w:val="22"/>
          <w:u w:val="single"/>
        </w:rPr>
        <w:t>3</w:t>
      </w:r>
      <w:r>
        <w:rPr>
          <w:sz w:val="22"/>
          <w:szCs w:val="22"/>
          <w:u w:val="single"/>
        </w:rPr>
        <w:t>:</w:t>
      </w:r>
      <w:r w:rsidRPr="00DE0A1F">
        <w:rPr>
          <w:b w:val="0"/>
          <w:sz w:val="22"/>
          <w:szCs w:val="22"/>
        </w:rPr>
        <w:t xml:space="preserve"> </w:t>
      </w:r>
      <w:r>
        <w:rPr>
          <w:sz w:val="22"/>
          <w:szCs w:val="22"/>
        </w:rPr>
        <w:t xml:space="preserve">In idle mode, a UE has to monitor paging when receiving broadcast. In this case, the UE may tune back to the unicast </w:t>
      </w:r>
      <w:r w:rsidR="00C13ACE">
        <w:rPr>
          <w:sz w:val="22"/>
          <w:szCs w:val="22"/>
        </w:rPr>
        <w:t>cell</w:t>
      </w:r>
      <w:r>
        <w:rPr>
          <w:sz w:val="22"/>
          <w:szCs w:val="22"/>
        </w:rPr>
        <w:t xml:space="preserve"> to receive paging</w:t>
      </w:r>
      <w:r w:rsidR="00DE0A1F">
        <w:rPr>
          <w:sz w:val="22"/>
          <w:szCs w:val="22"/>
        </w:rPr>
        <w:t xml:space="preserve"> or receive the paging over the broadcast cell</w:t>
      </w:r>
      <w:r>
        <w:rPr>
          <w:sz w:val="22"/>
          <w:szCs w:val="22"/>
        </w:rPr>
        <w:t>.</w:t>
      </w:r>
      <w:r w:rsidR="00DE0A1F">
        <w:rPr>
          <w:sz w:val="22"/>
          <w:szCs w:val="22"/>
        </w:rPr>
        <w:t xml:space="preserve">  The unicast cell solution </w:t>
      </w:r>
      <w:r w:rsidR="00F44541">
        <w:rPr>
          <w:sz w:val="22"/>
          <w:szCs w:val="22"/>
        </w:rPr>
        <w:t>may be</w:t>
      </w:r>
      <w:r w:rsidR="00DE0A1F">
        <w:rPr>
          <w:sz w:val="22"/>
          <w:szCs w:val="22"/>
        </w:rPr>
        <w:t xml:space="preserve"> preferred for simplicity.</w:t>
      </w:r>
    </w:p>
    <w:p w14:paraId="273A30AE" w14:textId="77777777" w:rsidR="00DE0A1F" w:rsidRDefault="00DE0A1F" w:rsidP="00E77804">
      <w:pPr>
        <w:pStyle w:val="LGTdoc1"/>
        <w:spacing w:beforeLines="0" w:before="120" w:after="220" w:afterAutospacing="0"/>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7BA6B3A4"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Qualcomm Inc. Nokia Networks, EBU</w:t>
      </w:r>
      <w:proofErr w:type="gramStart"/>
      <w:r w:rsidR="003775E1">
        <w:rPr>
          <w:b w:val="0"/>
          <w:sz w:val="22"/>
          <w:szCs w:val="22"/>
        </w:rPr>
        <w:t xml:space="preserve">;  </w:t>
      </w:r>
      <w:r w:rsidR="003775E1" w:rsidRPr="003775E1">
        <w:rPr>
          <w:b w:val="0"/>
          <w:sz w:val="22"/>
          <w:szCs w:val="22"/>
        </w:rPr>
        <w:t>3GPP</w:t>
      </w:r>
      <w:proofErr w:type="gramEnd"/>
      <w:r w:rsidR="003775E1" w:rsidRPr="003775E1">
        <w:rPr>
          <w:b w:val="0"/>
          <w:sz w:val="22"/>
          <w:szCs w:val="22"/>
        </w:rPr>
        <w:t xml:space="preserve"> RAN #71</w:t>
      </w:r>
      <w:r w:rsidR="003775E1">
        <w:rPr>
          <w:b w:val="0"/>
          <w:sz w:val="22"/>
          <w:szCs w:val="22"/>
        </w:rPr>
        <w:t xml:space="preserve">, </w:t>
      </w:r>
      <w:r w:rsidR="003775E1" w:rsidRPr="003775E1">
        <w:rPr>
          <w:b w:val="0"/>
          <w:sz w:val="22"/>
          <w:szCs w:val="22"/>
        </w:rPr>
        <w:t>Goteborg, Sweden, March 2016</w:t>
      </w:r>
    </w:p>
    <w:sectPr w:rsidR="00111B9A"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F6AC9" w14:textId="77777777" w:rsidR="00702890" w:rsidRDefault="00702890">
      <w:r>
        <w:separator/>
      </w:r>
    </w:p>
  </w:endnote>
  <w:endnote w:type="continuationSeparator" w:id="0">
    <w:p w14:paraId="364CEF0D" w14:textId="77777777" w:rsidR="00702890" w:rsidRDefault="00702890">
      <w:r>
        <w:continuationSeparator/>
      </w:r>
    </w:p>
  </w:endnote>
  <w:endnote w:type="continuationNotice" w:id="1">
    <w:p w14:paraId="5F29E590" w14:textId="77777777" w:rsidR="00702890" w:rsidRDefault="00702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37F0A">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43E17" w14:textId="77777777" w:rsidR="00702890" w:rsidRDefault="00702890">
      <w:r>
        <w:separator/>
      </w:r>
    </w:p>
  </w:footnote>
  <w:footnote w:type="continuationSeparator" w:id="0">
    <w:p w14:paraId="6FC429ED" w14:textId="77777777" w:rsidR="00702890" w:rsidRDefault="00702890">
      <w:r>
        <w:continuationSeparator/>
      </w:r>
    </w:p>
  </w:footnote>
  <w:footnote w:type="continuationNotice" w:id="1">
    <w:p w14:paraId="584EEF84" w14:textId="77777777" w:rsidR="00702890" w:rsidRDefault="0070289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8776B0B"/>
    <w:multiLevelType w:val="hybridMultilevel"/>
    <w:tmpl w:val="27DCB18E"/>
    <w:lvl w:ilvl="0" w:tplc="0D480946">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6"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0894406"/>
    <w:multiLevelType w:val="hybridMultilevel"/>
    <w:tmpl w:val="B3B2687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8"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30"/>
  </w:num>
  <w:num w:numId="4">
    <w:abstractNumId w:val="46"/>
  </w:num>
  <w:num w:numId="5">
    <w:abstractNumId w:val="47"/>
  </w:num>
  <w:num w:numId="6">
    <w:abstractNumId w:val="35"/>
  </w:num>
  <w:num w:numId="7">
    <w:abstractNumId w:val="9"/>
  </w:num>
  <w:num w:numId="8">
    <w:abstractNumId w:val="2"/>
  </w:num>
  <w:num w:numId="9">
    <w:abstractNumId w:val="38"/>
  </w:num>
  <w:num w:numId="10">
    <w:abstractNumId w:val="23"/>
  </w:num>
  <w:num w:numId="11">
    <w:abstractNumId w:val="28"/>
  </w:num>
  <w:num w:numId="12">
    <w:abstractNumId w:val="8"/>
  </w:num>
  <w:num w:numId="13">
    <w:abstractNumId w:val="41"/>
  </w:num>
  <w:num w:numId="14">
    <w:abstractNumId w:val="29"/>
  </w:num>
  <w:num w:numId="15">
    <w:abstractNumId w:val="21"/>
  </w:num>
  <w:num w:numId="16">
    <w:abstractNumId w:val="39"/>
  </w:num>
  <w:num w:numId="17">
    <w:abstractNumId w:val="33"/>
  </w:num>
  <w:num w:numId="18">
    <w:abstractNumId w:val="27"/>
  </w:num>
  <w:num w:numId="19">
    <w:abstractNumId w:val="13"/>
  </w:num>
  <w:num w:numId="20">
    <w:abstractNumId w:val="15"/>
  </w:num>
  <w:num w:numId="21">
    <w:abstractNumId w:val="34"/>
  </w:num>
  <w:num w:numId="22">
    <w:abstractNumId w:val="3"/>
  </w:num>
  <w:num w:numId="23">
    <w:abstractNumId w:val="25"/>
  </w:num>
  <w:num w:numId="24">
    <w:abstractNumId w:val="31"/>
  </w:num>
  <w:num w:numId="25">
    <w:abstractNumId w:val="36"/>
  </w:num>
  <w:num w:numId="26">
    <w:abstractNumId w:val="7"/>
  </w:num>
  <w:num w:numId="27">
    <w:abstractNumId w:val="1"/>
  </w:num>
  <w:num w:numId="28">
    <w:abstractNumId w:val="40"/>
  </w:num>
  <w:num w:numId="29">
    <w:abstractNumId w:val="6"/>
  </w:num>
  <w:num w:numId="30">
    <w:abstractNumId w:val="42"/>
  </w:num>
  <w:num w:numId="31">
    <w:abstractNumId w:val="5"/>
  </w:num>
  <w:num w:numId="32">
    <w:abstractNumId w:val="24"/>
  </w:num>
  <w:num w:numId="33">
    <w:abstractNumId w:val="20"/>
  </w:num>
  <w:num w:numId="34">
    <w:abstractNumId w:val="44"/>
  </w:num>
  <w:num w:numId="35">
    <w:abstractNumId w:val="32"/>
  </w:num>
  <w:num w:numId="36">
    <w:abstractNumId w:val="17"/>
  </w:num>
  <w:num w:numId="37">
    <w:abstractNumId w:val="45"/>
  </w:num>
  <w:num w:numId="38">
    <w:abstractNumId w:val="22"/>
  </w:num>
  <w:num w:numId="39">
    <w:abstractNumId w:val="10"/>
  </w:num>
  <w:num w:numId="40">
    <w:abstractNumId w:val="12"/>
  </w:num>
  <w:num w:numId="41">
    <w:abstractNumId w:val="11"/>
  </w:num>
  <w:num w:numId="42">
    <w:abstractNumId w:val="4"/>
  </w:num>
  <w:num w:numId="43">
    <w:abstractNumId w:val="0"/>
  </w:num>
  <w:num w:numId="44">
    <w:abstractNumId w:val="43"/>
  </w:num>
  <w:num w:numId="45">
    <w:abstractNumId w:val="14"/>
  </w:num>
  <w:num w:numId="46">
    <w:abstractNumId w:val="26"/>
  </w:num>
  <w:num w:numId="47">
    <w:abstractNumId w:val="19"/>
  </w:num>
  <w:num w:numId="48">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886"/>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37F0A"/>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0A1"/>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BF2"/>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484"/>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890"/>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2F8"/>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DF0"/>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C4"/>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4F91"/>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180"/>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ACE"/>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89F"/>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2A"/>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A1F"/>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54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9055612">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5ACTRJNS4X5K-3-3676</_dlc_DocId>
    <_dlc_DocIdUrl xmlns="09bf1062-b00c-4aa1-ba18-87ca9e63a56e">
      <Url>https://projects.qualcomm.com/sites/espresso/_layouts/15/DocIdRedir.aspx?ID=5ACTRJNS4X5K-3-3676</Url>
      <Description>5ACTRJNS4X5K-3-3676</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82E44593-3422-47F7-BE2B-067445CE1A99}">
  <ds:schemaRefs>
    <ds:schemaRef ds:uri="http://schemas.openxmlformats.org/officeDocument/2006/bibliography"/>
  </ds:schemaRefs>
</ds:datastoreItem>
</file>

<file path=customXml/itemProps7.xml><?xml version="1.0" encoding="utf-8"?>
<ds:datastoreItem xmlns:ds="http://schemas.openxmlformats.org/officeDocument/2006/customXml" ds:itemID="{077D842C-AE42-4A26-80EC-8347F4852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2</Pages>
  <Words>644</Words>
  <Characters>3676</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24</cp:revision>
  <cp:lastPrinted>2010-08-13T21:54:00Z</cp:lastPrinted>
  <dcterms:created xsi:type="dcterms:W3CDTF">2016-03-22T22:35:00Z</dcterms:created>
  <dcterms:modified xsi:type="dcterms:W3CDTF">2016-08-07T12:01:00Z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0ae0f21b-ae5e-41e8-b1dc-e089da30246e</vt:lpwstr>
  </property>
</Properties>
</file>